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Default="00BC6A66" w:rsidP="008F2EE4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F2EE4">
        <w:rPr>
          <w:b/>
          <w:sz w:val="28"/>
          <w:szCs w:val="28"/>
        </w:rPr>
        <w:t xml:space="preserve">Компенсация </w:t>
      </w:r>
      <w:r w:rsidR="008F2EE4">
        <w:rPr>
          <w:b/>
          <w:sz w:val="28"/>
          <w:szCs w:val="28"/>
        </w:rPr>
        <w:t>за</w:t>
      </w:r>
      <w:r w:rsidRPr="008F2EE4">
        <w:rPr>
          <w:b/>
          <w:sz w:val="28"/>
          <w:szCs w:val="28"/>
        </w:rPr>
        <w:t xml:space="preserve"> твердое топливо</w:t>
      </w:r>
      <w:r w:rsidR="008F2EE4">
        <w:rPr>
          <w:b/>
          <w:sz w:val="28"/>
          <w:szCs w:val="28"/>
        </w:rPr>
        <w:t xml:space="preserve"> для льготных категорий граждан</w:t>
      </w:r>
    </w:p>
    <w:p w:rsidR="00BC6A66" w:rsidRDefault="00BC6A66" w:rsidP="00BC6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6A66" w:rsidRDefault="00BC6A66" w:rsidP="00BC6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Размер компенсации на приобретение твердого топлива</w:t>
      </w:r>
      <w:r w:rsidR="008F2EE4">
        <w:rPr>
          <w:rFonts w:eastAsia="Calibri"/>
          <w:sz w:val="28"/>
          <w:szCs w:val="28"/>
          <w:lang w:eastAsia="en-US"/>
        </w:rPr>
        <w:t xml:space="preserve"> для льготных категорий граждан</w:t>
      </w:r>
      <w:r>
        <w:rPr>
          <w:rFonts w:eastAsia="Calibri"/>
          <w:sz w:val="28"/>
          <w:szCs w:val="28"/>
          <w:lang w:eastAsia="en-US"/>
        </w:rPr>
        <w:t xml:space="preserve"> определяется с</w:t>
      </w:r>
      <w:r>
        <w:rPr>
          <w:sz w:val="28"/>
          <w:szCs w:val="28"/>
        </w:rPr>
        <w:t> </w:t>
      </w:r>
      <w:r>
        <w:rPr>
          <w:rFonts w:eastAsia="Calibri"/>
          <w:sz w:val="28"/>
          <w:szCs w:val="28"/>
          <w:lang w:eastAsia="en-US"/>
        </w:rPr>
        <w:t xml:space="preserve">учетом норм выдачи бесплатного пайкового угля, установленных для Ростовской </w:t>
      </w:r>
      <w:r w:rsidRPr="0023555C">
        <w:rPr>
          <w:rFonts w:eastAsia="Calibri"/>
          <w:sz w:val="28"/>
          <w:szCs w:val="28"/>
          <w:lang w:eastAsia="en-US"/>
        </w:rPr>
        <w:t xml:space="preserve">области </w:t>
      </w:r>
      <w:hyperlink r:id="rId4" w:history="1">
        <w:r w:rsidRPr="0023555C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распоряжением</w:t>
        </w:r>
      </w:hyperlink>
      <w:r w:rsidRPr="0023555C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04.11.2006 № 1516-р и </w:t>
      </w:r>
      <w:hyperlink r:id="rId5" w:history="1">
        <w:r w:rsidRPr="0023555C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приказом</w:t>
        </w:r>
      </w:hyperlink>
      <w:r w:rsidRPr="0023555C">
        <w:rPr>
          <w:rFonts w:eastAsia="Calibri"/>
          <w:sz w:val="28"/>
          <w:szCs w:val="28"/>
          <w:lang w:eastAsia="en-US"/>
        </w:rPr>
        <w:t xml:space="preserve"> Министерства энергетики Российской Федерации от 20.08.2020 № 686 «Об утверждении</w:t>
      </w:r>
      <w:r>
        <w:rPr>
          <w:rFonts w:eastAsia="Calibri"/>
          <w:sz w:val="28"/>
          <w:szCs w:val="28"/>
          <w:lang w:eastAsia="en-US"/>
        </w:rPr>
        <w:t xml:space="preserve"> методики определения норм выдачи бесплатного пайкового угля для бытовых нужд пенсионерам и другим категориям лиц, проживающим в угледобывающих регионах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домах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печным отоплением или в домах, кухни в которых оборудованы очагами, растапливаемыми углем, и имеющим право на его получение в соответствии с законодательством Российской Федерации</w:t>
      </w:r>
      <w:r w:rsidR="008F2EE4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BC6A66" w:rsidRDefault="00BC6A66" w:rsidP="00BC6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вышеуказанными нормативными актами норма выдачи угля определена в размере 5,4 тонны в год, исходя из нормативной общей площади получателя 36 кв. м., то есть 150 кг на 1 кв. м. общей площади жилого помещения. </w:t>
      </w:r>
    </w:p>
    <w:p w:rsidR="00BC6A66" w:rsidRDefault="00BC6A66" w:rsidP="00BC6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жилое помещение, размер площади которого превышает 36 кв.м. компенсацияна приобретение твердого топлива не может превышать установленную норму 5,4 тонны в год, в случае если площадь жилого помещения меньше 36 кв.м., норма устанавливается исходя из 150 кг на 1 кв. м. общей площади жилого помещения.</w:t>
      </w:r>
    </w:p>
    <w:p w:rsidR="00BC6A66" w:rsidRDefault="00BC6A66" w:rsidP="00BC6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компенсации на приобретение твердого топлива:</w:t>
      </w:r>
    </w:p>
    <w:p w:rsidR="00BC6A66" w:rsidRDefault="00BC6A66" w:rsidP="00BC6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 без учета социальной нормы площади и количества зарегистрированных граждан;</w:t>
      </w:r>
    </w:p>
    <w:p w:rsidR="00BC6A66" w:rsidRDefault="00BC6A66" w:rsidP="00BC6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8F2EE4">
        <w:rPr>
          <w:sz w:val="28"/>
          <w:szCs w:val="28"/>
        </w:rPr>
        <w:t>предоставляется на членов семьи;</w:t>
      </w:r>
      <w:bookmarkStart w:id="0" w:name="_GoBack"/>
      <w:bookmarkEnd w:id="0"/>
    </w:p>
    <w:p w:rsidR="00BC6A66" w:rsidRDefault="00BC6A66" w:rsidP="00BC6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угля на жилое помещение делится пропорционально между всеми льготниками, проживающими в жилом помещении; </w:t>
      </w:r>
    </w:p>
    <w:p w:rsidR="00BC6A66" w:rsidRDefault="00BC6A66" w:rsidP="00BC6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может предоставляться льготнику, указанному в документе, подтверждающем фактически произведенные расходы, при условии письменного согласия других льготников, проживающих совместно;</w:t>
      </w:r>
    </w:p>
    <w:p w:rsidR="00BC6A66" w:rsidRDefault="00BC6A66" w:rsidP="00BC6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на предоставление мер социальной поддержки могут прикладываться документы, подтверждающие фактически произведенные расходы на жилое помещение по указанному адресу содержащие фамилию, имя, отчество одного из получателей компенсации.</w:t>
      </w:r>
    </w:p>
    <w:p w:rsidR="00BC6A66" w:rsidRDefault="00BC6A66" w:rsidP="00BC6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документов, подтверждающих фактически произведенные расходы меньше нормы угля на жилое помещение, остатки нормы могут компенсироваться в течение 12 месяцев с момента обращения. </w:t>
      </w:r>
    </w:p>
    <w:p w:rsidR="00BC6A66" w:rsidRDefault="00BC6A66" w:rsidP="00BC6A66">
      <w:pPr>
        <w:ind w:firstLine="709"/>
        <w:jc w:val="both"/>
        <w:rPr>
          <w:sz w:val="28"/>
          <w:szCs w:val="28"/>
        </w:rPr>
      </w:pPr>
    </w:p>
    <w:p w:rsidR="00BC6A66" w:rsidRDefault="00BC6A66" w:rsidP="00BC6A66">
      <w:pPr>
        <w:ind w:firstLine="709"/>
        <w:jc w:val="both"/>
        <w:rPr>
          <w:sz w:val="28"/>
          <w:szCs w:val="28"/>
        </w:rPr>
      </w:pPr>
    </w:p>
    <w:p w:rsidR="00AE6E97" w:rsidRDefault="00AE6E97"/>
    <w:sectPr w:rsidR="00AE6E97" w:rsidSect="006530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E09"/>
    <w:rsid w:val="0023555C"/>
    <w:rsid w:val="003308BE"/>
    <w:rsid w:val="006530C3"/>
    <w:rsid w:val="00734E09"/>
    <w:rsid w:val="008F2EE4"/>
    <w:rsid w:val="00AE6E97"/>
    <w:rsid w:val="00BC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1184A3D7E59C7F38222755DA77EA1829E7EEFAD29622A139EE49967B31D1D1EAE3B23B74F57082340AB02rAW0J" TargetMode="External"/><Relationship Id="rId4" Type="http://schemas.openxmlformats.org/officeDocument/2006/relationships/hyperlink" Target="consultantplus://offline/ref=6291184A3D7E59C7F38222755DA77EA1819579EEAF29622A139EE49967B31D1D1EAE3B23B74F57082340AB02rA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2020-12-21T13:38:00Z</dcterms:created>
  <dcterms:modified xsi:type="dcterms:W3CDTF">2020-12-21T13:38:00Z</dcterms:modified>
</cp:coreProperties>
</file>